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684E6">
      <w:pPr>
        <w:pStyle w:val="2"/>
        <w:keepNext w:val="0"/>
        <w:keepLines w:val="0"/>
        <w:pageBreakBefore w:val="0"/>
        <w:kinsoku/>
        <w:overflowPunct/>
        <w:topLinePunct w:val="0"/>
        <w:autoSpaceDN/>
        <w:bidi w:val="0"/>
        <w:adjustRightInd/>
        <w:spacing w:after="0"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01733527">
      <w:pPr>
        <w:pStyle w:val="2"/>
        <w:keepNext w:val="0"/>
        <w:keepLines w:val="0"/>
        <w:pageBreakBefore w:val="0"/>
        <w:kinsoku/>
        <w:overflowPunct/>
        <w:topLinePunct w:val="0"/>
        <w:autoSpaceDN/>
        <w:bidi w:val="0"/>
        <w:adjustRightInd/>
        <w:spacing w:after="0" w:line="560" w:lineRule="exact"/>
        <w:ind w:left="0" w:leftChars="0" w:firstLine="0" w:firstLineChars="0"/>
        <w:textAlignment w:val="auto"/>
        <w:rPr>
          <w:rFonts w:hint="eastAsia" w:ascii="黑体" w:hAnsi="黑体" w:eastAsia="黑体" w:cs="黑体"/>
          <w:sz w:val="32"/>
          <w:szCs w:val="32"/>
          <w:lang w:val="en-US" w:eastAsia="zh-CN"/>
        </w:rPr>
      </w:pPr>
    </w:p>
    <w:p w14:paraId="6B2CC8F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广东省基层科普行动计划项目</w:t>
      </w:r>
    </w:p>
    <w:p w14:paraId="6BCA21D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管理办法（暂行）</w:t>
      </w:r>
    </w:p>
    <w:p w14:paraId="558897CB">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p>
    <w:p w14:paraId="21B90A2C">
      <w:pPr>
        <w:keepNext w:val="0"/>
        <w:keepLines w:val="0"/>
        <w:pageBreakBefore w:val="0"/>
        <w:kinsoku/>
        <w:overflowPunct/>
        <w:topLinePunct w:val="0"/>
        <w:autoSpaceDN/>
        <w:bidi w:val="0"/>
        <w:adjustRightInd/>
        <w:spacing w:line="56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第一章  总  则</w:t>
      </w:r>
    </w:p>
    <w:p w14:paraId="0CE964AD">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29EA3C9">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规范和加强中央和省级“基层科普行动计划”项目（以下简称“项目”）的管理，根据中国科协、财政部印发《关于进一步加强基层科普服务能力建设的意见》的通知（科协发普字〔2017〕45号）以及省财政资金管理的有关规定，制定本办法。</w:t>
      </w:r>
    </w:p>
    <w:p w14:paraId="7B3C4B6D">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 xml:space="preserve"> 项目旨在切实增强基层科协和基层科普组织对广大科技工作者的政治引领和政治吸纳，动员和组织广大科技工作者自觉履行科普责任，广泛开展科技志愿服务，不断提升基层科普服务能力，提高公民科学文化素质，以更好地发挥科普助力党群服务中心和新时代文明实践中心、创新驱动发展、乡村振兴等方面的积极作用。</w:t>
      </w:r>
    </w:p>
    <w:p w14:paraId="3C92FFDF">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项目实施方式为资助方式。资助对象为全国科普示范县（市、区）创建单位、各地级以上市科协所属学会（协会、研究会）、党群服务中心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时代文明实践中心（站、所）、科协所属各类科技场馆、科学教育特色学校、农村专业技术协会、农村科普示范基地、科普示范社区、科普教育基地等基层科普组织。根据年度工作安排，省科协可调整项目实施方式及子项目数量、内容。</w:t>
      </w:r>
    </w:p>
    <w:p w14:paraId="7314FEA4">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项目资金按照“择优支持、规范管理、定向使用”的原则进行分配、使用和管理。</w:t>
      </w:r>
    </w:p>
    <w:p w14:paraId="7CA12872">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45CECE8">
      <w:pPr>
        <w:keepNext w:val="0"/>
        <w:keepLines w:val="0"/>
        <w:pageBreakBefore w:val="0"/>
        <w:kinsoku/>
        <w:overflowPunct/>
        <w:topLinePunct w:val="0"/>
        <w:autoSpaceDN/>
        <w:bidi w:val="0"/>
        <w:adjustRightInd/>
        <w:spacing w:line="56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第二章  职责和分工</w:t>
      </w:r>
    </w:p>
    <w:p w14:paraId="428D1A8E">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A27C3A8">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省科协主要职责：</w:t>
      </w:r>
    </w:p>
    <w:p w14:paraId="37C52047">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（一）组织制定项目管理办法。</w:t>
      </w:r>
    </w:p>
    <w:p w14:paraId="43712C68">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（二）组织制定年度工作计划、年度申报指南。</w:t>
      </w:r>
    </w:p>
    <w:p w14:paraId="218F4170">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（三）组织项目申报、评审、确定项目执行单位。</w:t>
      </w:r>
    </w:p>
    <w:p w14:paraId="3EC220AE">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（四）对项目实施及预算执行情况进行监督检查，组织开展绩效考核工作。</w:t>
      </w:r>
    </w:p>
    <w:p w14:paraId="63FD75D2">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（五）其他与项目管理有关的事项。</w:t>
      </w:r>
    </w:p>
    <w:p w14:paraId="53B501FB">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地级以上市科协主要职责：</w:t>
      </w:r>
    </w:p>
    <w:p w14:paraId="054C3F28">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（一）指导、审核和推荐本辖区符合条件的有关单位和基层科普组织填写申报表、申报报告、经费申报书和自评表。</w:t>
      </w:r>
    </w:p>
    <w:p w14:paraId="5DFE0381">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（二）开展项目实施过程中的指导、总结、评估、验收等管理工作。</w:t>
      </w:r>
    </w:p>
    <w:p w14:paraId="70D62C72">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（三）协调并处理项目实施过程中出现的问题。</w:t>
      </w:r>
    </w:p>
    <w:p w14:paraId="6BEDD42E">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（四）其他与项目管理有关的事项。</w:t>
      </w:r>
    </w:p>
    <w:p w14:paraId="4DD2E80F">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项目执行单位主要职责：</w:t>
      </w:r>
    </w:p>
    <w:p w14:paraId="2C277F54">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（一）按照申报的工作计划、进度实施项目，开展所承担项目的工作总结。做好项目成果的总结宣传和资料的报送归档工作。</w:t>
      </w:r>
    </w:p>
    <w:p w14:paraId="369C9E65">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（二）配合项目验收和绩效评价等事宜，编报项目资金决算及绩效自评报告，报告资金使用情况。</w:t>
      </w:r>
    </w:p>
    <w:p w14:paraId="6FE8934F">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（三）接受项目执行的指导、监督和检查。严格执行各项财务规章制度，按规定使用和管理项目资金，项目资金实行专账管理。</w:t>
      </w:r>
    </w:p>
    <w:p w14:paraId="6FDA29B7">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（四）其他与项目管理有关的事项。</w:t>
      </w:r>
    </w:p>
    <w:p w14:paraId="4C2135D0">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1193241">
      <w:pPr>
        <w:keepNext w:val="0"/>
        <w:keepLines w:val="0"/>
        <w:pageBreakBefore w:val="0"/>
        <w:kinsoku/>
        <w:overflowPunct/>
        <w:topLinePunct w:val="0"/>
        <w:autoSpaceDN/>
        <w:bidi w:val="0"/>
        <w:adjustRightInd/>
        <w:spacing w:line="56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第三章  组织与实施</w:t>
      </w:r>
    </w:p>
    <w:p w14:paraId="4706E403">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5B9E973">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项目申报。省科协发布年度项目申报指南。申</w:t>
      </w:r>
    </w:p>
    <w:p w14:paraId="6C6EA767">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报单位应具备以下基本条件：</w:t>
      </w:r>
    </w:p>
    <w:p w14:paraId="450C70C2">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——具有独立承担民事责任的能力。</w:t>
      </w:r>
    </w:p>
    <w:p w14:paraId="33073397">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——具有健全的财务管理制度和人员，信用良好，无违法记录。</w:t>
      </w:r>
    </w:p>
    <w:p w14:paraId="3BEAA0B0">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——具有能够保障项目顺利组织实施的工作团队和完成项目所必备的基础条件。</w:t>
      </w:r>
    </w:p>
    <w:p w14:paraId="5DB7BD6E">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符合申报条件的单位按照要求进行申报，将项目申报书报送至省科协科普部。</w:t>
      </w:r>
    </w:p>
    <w:p w14:paraId="71C519F5">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统一评审。省科协组织专家进行统一评审，择优支持。通过评审的单位经公示无异议后即成为项目执行单位。</w:t>
      </w:r>
    </w:p>
    <w:p w14:paraId="3AE1DA28">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项目执行。项目执行周期原则上为一年。项目执行单位严格按照项目申报材料的有关要求，联合有关部门，组织实施好所承担的项目，按照设定的任务和目标，在组织科技工作者开展科技志愿服务、完善优化基层科普阵地、现代科技馆体系运维、科普渠道多样化、科普资源落地应用、先进实用技术推广、弘扬时代新风行动等方面积极作为，助力党群服务中心、新时代文明实践中心建设或乡村振兴、创新驱动发展战略，形成可复制可推广的、有示范作用的典型经验和模式，树立有一定影响力的科普品牌。</w:t>
      </w:r>
    </w:p>
    <w:p w14:paraId="138185EE">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58F2E78">
      <w:pPr>
        <w:keepNext w:val="0"/>
        <w:keepLines w:val="0"/>
        <w:pageBreakBefore w:val="0"/>
        <w:kinsoku/>
        <w:overflowPunct/>
        <w:topLinePunct w:val="0"/>
        <w:autoSpaceDN/>
        <w:bidi w:val="0"/>
        <w:adjustRightInd/>
        <w:spacing w:line="56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第四章  经费使用与管理</w:t>
      </w:r>
    </w:p>
    <w:p w14:paraId="4BFAC113">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0AEB0D1">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项目资金的使用方向包括：</w:t>
      </w:r>
    </w:p>
    <w:p w14:paraId="523707F3">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（一）科技志愿服务。组建科技志愿服务队伍，志愿服务队伍的培训、学习、交流和宣传推广。</w:t>
      </w:r>
    </w:p>
    <w:p w14:paraId="7FAF6B0A">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（二）现代科技馆体系运营维护。包括县（市、区）科技馆、农村中学科技馆、流动科技馆、科普大篷车及数字科技馆的展品展具开发和维护、启发青少年探索思考专题课程的开发和设立等。</w:t>
      </w:r>
    </w:p>
    <w:p w14:paraId="2088C3D6">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普资源开发及落地应用。根据项目所在地群众的实际需求，开发数字科普产品，筛选“科普中国”“广东科普”以及项目执行单位自有的科普资源内容，通过各种渠道（包括但不限于开设科普中国电视、广播专栏、报纸杂志专刊、微信公众号、微博、qq群等）、各种阵地（包括但不限于机场、车站、码头、公园、景区、宾馆、银行、商场等公共场所，飞机、列车、客车、客轮等公共交通工具，以及各基层科普组织自有的科普服务站、宣传栏、电子屏等），分发推送给周边群众使用。</w:t>
      </w:r>
    </w:p>
    <w:p w14:paraId="499BB024">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技术新品种推广。结合本地区的经济社会发展状况，立足本地区特色产业，推广先进实用技术，提高公众科学素质和专业技能，以解决实际生产需求，助力乡村振兴战略或创新驱动发展战略，形成产业化优势。</w:t>
      </w:r>
    </w:p>
    <w:p w14:paraId="69F8F67E">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（五）弘扬时代新风行动。围绕卫生健康、防灾减灾、环境保护等与本辖区群众密切相关的主题开展科普活动，以满足人民对美好生活向往的科普需求。</w:t>
      </w:r>
    </w:p>
    <w:p w14:paraId="37F667A7">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项目资金的开支范围包括：</w:t>
      </w:r>
    </w:p>
    <w:p w14:paraId="0EEFAF7F">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普专用资料和设备费，包括图书资料费和展品展具费。其中，图书资料费是指项目执行所需的科普活动、培训、讲座、巡演等必须购买或制作图书、音像资料、宣传资料等发生的费用；展品展具费是指用于购买和制作科普宣传或展示等所需购买的科技科普展品、展具、教具、资源包等所发生的费用。</w:t>
      </w:r>
    </w:p>
    <w:p w14:paraId="7D69FEAF">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普活动费，包括培训讲座费、展览费和新技术新品种推广费等。其中，培训讲座费是指培训讲座过程中发生的师资费、培训场地费和设备租赁费等费用，开支范围和标准应符合国家相关培训费管理规定；展览费是指举办科技科普宣传或展示、展览过程中发生的交通运输、差旅和劳务等费用；新技术新品种推广费是指在开展面向基层的科技科普示范活动中发生的购买新品种新技术及配套原辅材料、聘请专业技术人员、租赁场地和设备等费用；以及项目的宣传推广等费用。</w:t>
      </w:r>
    </w:p>
    <w:p w14:paraId="5B2B001A">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（三）保障经费，包括开展科技志愿服务活动时支付科技志愿者（须在科技志愿服务平台或i志愿服务平台注册）的交通费、误餐费、通信费、保险费等费用。</w:t>
      </w:r>
    </w:p>
    <w:p w14:paraId="1E51E86B">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（四）其他费用，是指除上述各项费用开支以外的，开展项目工作过程中所发生且符合国家相关财务管理规定的必要支出，不超过项目资金的10%。</w:t>
      </w:r>
    </w:p>
    <w:p w14:paraId="532A6B23">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项目资金不得用于以下开支：</w:t>
      </w:r>
    </w:p>
    <w:p w14:paraId="67C3DAE0">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（一）管理费。</w:t>
      </w:r>
    </w:p>
    <w:p w14:paraId="3B2D0F2A">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（二）人员工资津补贴、水电费和物业取暖费。</w:t>
      </w:r>
    </w:p>
    <w:p w14:paraId="5B23B680">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（三）出国和业务招待支出。</w:t>
      </w:r>
    </w:p>
    <w:p w14:paraId="52E811AD">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（四）土建工程、办公设备设施的维修改造支出。</w:t>
      </w:r>
    </w:p>
    <w:p w14:paraId="58A3B87F">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（五）购置通用固定资产（如电脑、LED显示屏、一体机、投影仪等）。</w:t>
      </w:r>
    </w:p>
    <w:p w14:paraId="5328F6DD">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（六）组织、协调等各种管理性费用支出。</w:t>
      </w:r>
    </w:p>
    <w:p w14:paraId="2B9CF531">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（七）罚款、还贷、捐赠、赞助、对外投资支出。</w:t>
      </w:r>
    </w:p>
    <w:p w14:paraId="6A70816E">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（八）与科普工作无关的其他支出。</w:t>
      </w:r>
    </w:p>
    <w:p w14:paraId="3FE0CBCE">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项目资金使用中涉及政府采购的，应当按照政府采购的有关规定执行。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使用项目资金形成的资产属于国有资产，按照国家国有资产管理有关规定执行。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项目资金项目预算的申报审批程序按照省科协规定的申报与推荐程序执行。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项目资金的支付，按照财政部、中国科协和省财政有关管理制度执行。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执行单位应当严格按照批复的项目预算执行，不得自行调整。执行过程中确因实施条件与项目申报时发生重大变化需调整的，应当按照申报程序履行报批手续。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执行单位应当严格按照本办法的规定，建立健全内部控制制度，加强对项目经费的监督和管理，对项目经费及其自筹经费分别进行单独核算。</w:t>
      </w:r>
    </w:p>
    <w:p w14:paraId="1E3EE146">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执行单位自项目公示结束之日起，开展项目工作发生的费用，可在项目资金中列支。原则上应当自公示结束之日起一年内执行完毕，因特殊原因一年内不能执行完毕的，应提交书面说明并按程序申请延长经费使用期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第二十条</w:t>
      </w:r>
      <w:r>
        <w:rPr>
          <w:rFonts w:hint="eastAsia" w:ascii="仿宋_GB2312" w:hAnsi="仿宋_GB2312" w:eastAsia="仿宋_GB2312" w:cs="仿宋_GB2312"/>
          <w:sz w:val="32"/>
          <w:szCs w:val="32"/>
        </w:rPr>
        <w:t xml:space="preserve">  省科协对项目实施情况进行检查和监督。有下列行为之一的，将追回其相应项目资金，在后续年度相应调减对所在地区的支持资金，并追究相关人员的责任。</w:t>
      </w:r>
    </w:p>
    <w:p w14:paraId="2792774C">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（一）提供虚假资料。</w:t>
      </w:r>
    </w:p>
    <w:p w14:paraId="4F0BBC2C">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（二）截留、挤占、挪用项目资金。</w:t>
      </w:r>
    </w:p>
    <w:p w14:paraId="623EC75F">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（三）失职致使计划无法实施，造成不良影响。</w:t>
      </w:r>
    </w:p>
    <w:p w14:paraId="3CBBD8DE">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（四）未按规定执行和调整预算。</w:t>
      </w:r>
    </w:p>
    <w:p w14:paraId="6948F3DD">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（五）违反规定转拨、转移项目经费。</w:t>
      </w:r>
    </w:p>
    <w:p w14:paraId="4592F233">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（六）因主观原因经费不能及时支付到用款单位和个人。</w:t>
      </w:r>
    </w:p>
    <w:p w14:paraId="78BAADE6">
      <w:pPr>
        <w:keepNext w:val="0"/>
        <w:keepLines w:val="0"/>
        <w:pageBreakBefore w:val="0"/>
        <w:kinsoku/>
        <w:overflowPunct/>
        <w:topLinePunct w:val="0"/>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（七）其他违反国家有关法律、法规的行为。</w:t>
      </w:r>
    </w:p>
    <w:p w14:paraId="3BE53910">
      <w:pPr>
        <w:keepNext w:val="0"/>
        <w:keepLines w:val="0"/>
        <w:pageBreakBefore w:val="0"/>
        <w:kinsoku/>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各地级以上市级科协应当加强对本地区项目实施情况的监督和管理，并按省科协要求，汇总上报项目开展情况、项目资金使用和绩效情况。</w:t>
      </w:r>
    </w:p>
    <w:p w14:paraId="24E69C97">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本办法由省科协负责解释。</w:t>
      </w:r>
    </w:p>
    <w:p w14:paraId="642FB191">
      <w:pPr>
        <w:keepNext w:val="0"/>
        <w:keepLines w:val="0"/>
        <w:pageBreakBefore w:val="0"/>
        <w:kinsoku/>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本办法自公布之日起施行。原《广东省基层科普行动计划资金管理办法》（粤科协普〔2020〕3号）同时废止。</w:t>
      </w:r>
    </w:p>
    <w:p w14:paraId="31D5EE5B">
      <w:bookmarkStart w:id="0" w:name="_GoBack"/>
      <w:bookmarkEnd w:id="0"/>
    </w:p>
    <w:sectPr>
      <w:footerReference r:id="rId4" w:type="first"/>
      <w:footerReference r:id="rId3" w:type="default"/>
      <w:pgSz w:w="11905" w:h="16838"/>
      <w:pgMar w:top="2041" w:right="1814" w:bottom="1701" w:left="1814" w:header="851" w:footer="1134" w:gutter="0"/>
      <w:pgNumType w:fmt="decimal" w:start="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690C">
    <w:pPr>
      <w:pStyle w:val="3"/>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BB9E3">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vRFAtIAAAAG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14:paraId="71CBB9E3">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page">
                <wp:posOffset>996315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304D73">
                          <w:pPr>
                            <w:pStyle w:val="3"/>
                            <w:ind w:left="0" w:leftChars="0" w:firstLine="0" w:firstLineChars="0"/>
                            <w:rPr>
                              <w:rFonts w:hint="eastAsia" w:ascii="仿宋_GB2312" w:hAnsi="仿宋_GB2312" w:eastAsia="仿宋_GB2312" w:cs="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8.45pt;margin-top:0pt;height:144pt;width:144pt;mso-position-horizontal-relative:page;mso-wrap-style:none;z-index:251659264;mso-width-relative:page;mso-height-relative:page;" filled="f" stroked="f" coordsize="21600,21600" o:gfxdata="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F2gK9QAAAAIAQAADwAAAAAAAAABACAAAAAiAAAAZHJzL2Rvd25yZXYu&#10;eG1sUEsBAhQAFAAAAAgAh07iQJjHpww4AgAAbwQAAA4AAAAAAAAAAQAgAAAAIwEAAGRycy9lMm9E&#10;b2MueG1sUEsFBgAAAAAGAAYAWQEAAM0FAAAAAA==&#10;">
              <v:path/>
              <v:fill on="f" focussize="0,0"/>
              <v:stroke on="f" weight="0.5pt"/>
              <v:imagedata o:title=""/>
              <o:lock v:ext="edit" aspectratio="f"/>
              <v:textbox inset="0mm,0mm,0mm,0mm" style="mso-fit-shape-to-text:t;">
                <w:txbxContent>
                  <w:p w14:paraId="6A304D73">
                    <w:pPr>
                      <w:pStyle w:val="3"/>
                      <w:ind w:left="0" w:leftChars="0" w:firstLine="0" w:firstLineChars="0"/>
                      <w:rPr>
                        <w:rFonts w:hint="eastAsia" w:ascii="仿宋_GB2312" w:hAnsi="仿宋_GB2312" w:eastAsia="仿宋_GB2312" w:cs="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3C42E">
    <w:pPr>
      <w:pStyle w:val="3"/>
      <w:ind w:right="360"/>
      <w:rPr>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BF1A9">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7.5pt;height:144pt;width:144pt;mso-position-horizontal-relative:margin;mso-wrap-style:none;z-index:251661312;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Fx6S9MAAAAH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14:paraId="4F2BF1A9">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07A20"/>
    <w:rsid w:val="6BC0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uiPriority w:val="99"/>
    <w:pPr>
      <w:spacing w:after="120"/>
    </w:pPr>
    <w:rPr>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2025-04-07T09:32:00Z</dcterms:created>
  <dc:creator>报社编辑</dc:creator>
  <cp:lastModifiedBy>报社编辑</cp:lastModifiedBy>
  <dcterms:modified xsi:type="dcterms:W3CDTF">2025-04-07T09:32:34Z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0EC9F1FBD4FF4CCB977E31A29B289A09_11</vt:lpwstr>
  </property>
  <property fmtid="{D5CDD505-2E9C-101B-9397-08002B2CF9AE}" pid="4" name="KSOTemplateDocerSaveRecord">
    <vt:lpwstr>eyJoZGlkIjoiNDhiNzBkOTNjNDIyZWUzMWE2YmMzMmRiYmQ2OTE4YTciLCJ1c2VySWQiOiIzNzc2NDI0NzEifQ==</vt:lpwstr>
  </property>
</Properties>
</file>